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317</w:t>
      </w:r>
    </w:p>
    <w:p>
      <w:r>
        <w:t>Bundesgericht (BGE), 1994-11-17, FR</w:t>
      </w:r>
    </w:p>
    <w:p>
      <w:r>
        <w:rPr>
          <w:b/>
        </w:rPr>
        <w:t xml:space="preserve">Quelle: </w:t>
      </w:r>
      <w:r>
        <w:t>https://mcp.opencaselaw.ch/entscheid/bge_120 IV 317</w:t>
      </w:r>
    </w:p>
    <w:p>
      <w:r>
        <w:t>FR: ATF 120 IV 317</w:t>
      </w:r>
    </w:p>
    <w:p>
      <w:r>
        <w:t>IT: DTF 120 IV 317</w:t>
      </w:r>
    </w:p>
    <w:p>
      <w:pPr>
        <w:pStyle w:val="Heading2"/>
      </w:pPr>
      <w:r>
        <w:t>Regeste</w:t>
      </w:r>
    </w:p>
    <w:p>
      <w:r>
        <w:t>Regeste Art. 137 Ziff. 2 und Art. 139 Ziff. 2 StGB; qualifizierter Diebstahl und qualifizierter Raub. Selbst wenn zwei Personen nicht genügen sollten, um eine Bande zu bilden (Art. 137 Ziff. 2 Abs. 2 und Art. 139 Ziff. 2 Abs. 2 StGB), sind jedenfalls beim Vorliegen der Voraussetzungen der Generalklausel der Art. 137 Ziff. 2 und Art. 139 Ziff. 2 StGB, d.h. wenn der Täter sonstwie durch die Art der Tatverübung seine besondere Gefährlichkeit offenbart (Art. 137 Ziff. 2 Abs. 4 und Art. 139 Ziff. 2 Abs. 3 StGB) oder auch, wenn er zum Zwecke des Diebstahls eine Schusswaffe oder eine andere gefährliche Waffe mit sich führt (Art. 137 Ziff. 2 Abs. 3 StGB), diese Bestimmungen anwendbar (E. 2a).</w:t>
      </w:r>
    </w:p>
    <w:p>
      <w:pPr>
        <w:pStyle w:val="Heading2"/>
      </w:pPr>
      <w:r>
        <w:t>Erwägungen</w:t>
      </w:r>
    </w:p>
    <w:p>
      <w:r>
        <w:rPr>
          <w:b/>
        </w:rPr>
        <w:t>E. 2</w:t>
      </w:r>
    </w:p>
    <w:p>
      <w:r>
        <w:t>a) Le recourant soutient que son association avec R. ne peut pas réaliser la circonstance aggravante de la bande, parce que cette notion supposerait au moins la présence de trois personnes. Selon la jurisprudence,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 ATF 100 IV 219 consid. 1 et 2 et les références citées); du point de vue subjectif, il suffit que l'auteur connaisse et veuille les circonstances de fait qui correspondent à la définition de la bande ( ATF 105 IV 181 consid. 4b). Dans la doctrine, tandis que certains auteurs citent la jurisprudence sans la critiquer eux-mêmes (cf. NOLL, Bes. Teil I p. 140 s.; REHBERG, Strafrecht III p. 76; TRECHSEL, Kurzkommentar StGB Art. 137 no 16; STRATENWERTH, Bes. Teil I p. 274 s. no 110), d'autres se sont demandés s'il ne fallait pas exiger un minimum de trois participants pour constituer une bande (cf. BRUNO VON BÜREN, Bandenmässigkeit von Diebstahl und Raub, SJZ 75/1979 p. 43 s.; EDWARD OTT, Täterduo als "Bande" bei Diebstahl, Raub und Verstössen gegen das Betäubungsmittelgesetz? ZStR 99/1982 p. 328 ss; SCHUBARTH, Kommentar StGB art. 137 no 129 ss; WOLFGANG SCHILD, Der strafrechtsdogmatische Begriff der Bande, Goldammers Archiv 1982 p. 55 ss). En l'espèce, la question peut toutefois demeurer indécise. En effet, les art. 137 ch. 2 et 139 ch. 2 CP sont de toute façon applicables lorsque les conditions de la clause générale de ces dispositions sont réalisées, c'est-à-dire si de toute autre manière la façon d'agir de l'auteur dénote qu'il est particulièrement dangereux ( art. 137 ch. 2 al. 4 et art. 139 ch. 2 al. 3 CP ) ou encore, en cas de vol, lorsque l'auteur s'est muni d'une arme à feu ou d'une autre arme dangereuse ( art. 137 ch. 2 al. 3 CP ). Or, dans les deux cas de brigandage où il a été retenu que le recourant avait agi en bande avec R., soit en ce qui concerne B. d'une part et D. d'autre part, il a été constaté en fait, ce qui lie la Cour de cassation (cf. supra, consid. 1b), que le recourant et son comparse étaient munis d'une arme à feu avec laquelle ils ont menacé leurs victimes pour les mettre hors BGE 120 IV 317 S. 319 d'état de résister; un tel comportement réalise la circonstance aggravante de l' art. 139 ch. 2 al. 3 CP ( ATF 118 IV 142 consid. 3b, ATF 117 IV 419 consid. 4b p. 424/425, ATF 116 IV 312 consid. 2d/bb). Par ailleurs, dans les différents cas de vol où il a été retenu que le recourant et R. avaient agi en bande, il a été constaté en fait que les auteurs étaient toujours porteurs d'une arme à feu. Dès lors, même en admettant que deux personnes ne suffisent pas à former une bande, les art. 137 ch. 2 et 139 ch. 2 CP étaient de toute façon applicables en l'espèce, de sorte qu'en les appliquant la cour cantonale n'a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